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12427" w14:textId="1CA05F02" w:rsidR="00927E6D" w:rsidRPr="009756BC" w:rsidRDefault="00927E6D" w:rsidP="00927E6D">
      <w:pPr>
        <w:jc w:val="center"/>
        <w:rPr>
          <w:rFonts w:ascii="Times New Roman" w:hAnsi="Times New Roman" w:cs="Times New Roman"/>
          <w:b/>
          <w:bCs/>
          <w:sz w:val="26"/>
          <w:szCs w:val="26"/>
        </w:rPr>
      </w:pPr>
      <w:bookmarkStart w:id="0" w:name="_GoBack"/>
      <w:bookmarkEnd w:id="0"/>
      <w:r w:rsidRPr="009756BC">
        <w:rPr>
          <w:rFonts w:ascii="Times New Roman" w:hAnsi="Times New Roman" w:cs="Times New Roman"/>
          <w:b/>
          <w:bCs/>
          <w:sz w:val="26"/>
          <w:szCs w:val="26"/>
        </w:rPr>
        <w:t>Шановні Споживачі</w:t>
      </w:r>
      <w:r w:rsidR="005B6A1F" w:rsidRPr="009756BC">
        <w:rPr>
          <w:rFonts w:ascii="Times New Roman" w:hAnsi="Times New Roman" w:cs="Times New Roman"/>
          <w:b/>
          <w:bCs/>
          <w:sz w:val="26"/>
          <w:szCs w:val="26"/>
        </w:rPr>
        <w:t>!</w:t>
      </w:r>
    </w:p>
    <w:p w14:paraId="32C834A9" w14:textId="486EB621" w:rsidR="00B03E08" w:rsidRPr="00B00643" w:rsidRDefault="00927E6D" w:rsidP="00927E6D">
      <w:pPr>
        <w:jc w:val="both"/>
        <w:rPr>
          <w:rFonts w:ascii="Times New Roman" w:hAnsi="Times New Roman" w:cs="Times New Roman"/>
          <w:sz w:val="26"/>
          <w:szCs w:val="26"/>
        </w:rPr>
      </w:pPr>
      <w:r w:rsidRPr="00B00643">
        <w:rPr>
          <w:rFonts w:ascii="Times New Roman" w:hAnsi="Times New Roman" w:cs="Times New Roman"/>
          <w:sz w:val="26"/>
          <w:szCs w:val="26"/>
        </w:rPr>
        <w:t xml:space="preserve"> Ставимо Вас до відому, що у відповідності до Постанови НКРЕКП від 30.09.2015 </w:t>
      </w:r>
      <w:r w:rsidR="00B00643">
        <w:rPr>
          <w:rFonts w:ascii="Times New Roman" w:hAnsi="Times New Roman" w:cs="Times New Roman"/>
          <w:sz w:val="26"/>
          <w:szCs w:val="26"/>
        </w:rPr>
        <w:t xml:space="preserve">                 </w:t>
      </w:r>
      <w:r w:rsidRPr="00B00643">
        <w:rPr>
          <w:rFonts w:ascii="Times New Roman" w:hAnsi="Times New Roman" w:cs="Times New Roman"/>
          <w:sz w:val="26"/>
          <w:szCs w:val="26"/>
        </w:rPr>
        <w:t xml:space="preserve">№ 2494 </w:t>
      </w:r>
      <w:r w:rsidRPr="00B00643">
        <w:rPr>
          <w:rFonts w:ascii="Times New Roman" w:hAnsi="Times New Roman" w:cs="Times New Roman"/>
          <w:b/>
          <w:bCs/>
          <w:sz w:val="26"/>
          <w:szCs w:val="26"/>
        </w:rPr>
        <w:t>«Про затвердження Кодексу газорозподільних систем»</w:t>
      </w:r>
    </w:p>
    <w:p w14:paraId="1BA9C8A3" w14:textId="77777777" w:rsidR="00CE722F" w:rsidRPr="00B00643" w:rsidRDefault="00927E6D" w:rsidP="00CE722F">
      <w:pPr>
        <w:ind w:firstLine="708"/>
        <w:jc w:val="both"/>
        <w:rPr>
          <w:rFonts w:ascii="Times New Roman" w:hAnsi="Times New Roman" w:cs="Times New Roman"/>
          <w:sz w:val="26"/>
          <w:szCs w:val="26"/>
        </w:rPr>
      </w:pPr>
      <w:r w:rsidRPr="00B00643">
        <w:rPr>
          <w:rFonts w:ascii="Times New Roman" w:hAnsi="Times New Roman" w:cs="Times New Roman"/>
          <w:sz w:val="26"/>
          <w:szCs w:val="26"/>
        </w:rPr>
        <w:t xml:space="preserve"> п.4. </w:t>
      </w:r>
      <w:r w:rsidRPr="00E212DF">
        <w:rPr>
          <w:rFonts w:ascii="Times New Roman" w:hAnsi="Times New Roman" w:cs="Times New Roman"/>
          <w:sz w:val="26"/>
          <w:szCs w:val="26"/>
          <w:u w:val="single"/>
        </w:rPr>
        <w:t>Власникам</w:t>
      </w:r>
      <w:r w:rsidRPr="00E212DF">
        <w:rPr>
          <w:rFonts w:ascii="Times New Roman" w:hAnsi="Times New Roman" w:cs="Times New Roman"/>
          <w:sz w:val="26"/>
          <w:szCs w:val="26"/>
        </w:rPr>
        <w:t xml:space="preserve"> </w:t>
      </w:r>
      <w:r w:rsidRPr="00E212DF">
        <w:rPr>
          <w:rFonts w:ascii="Times New Roman" w:hAnsi="Times New Roman" w:cs="Times New Roman"/>
          <w:sz w:val="26"/>
          <w:szCs w:val="26"/>
          <w:u w:val="single"/>
        </w:rPr>
        <w:t>комерційних</w:t>
      </w:r>
      <w:r w:rsidRPr="00E212DF">
        <w:rPr>
          <w:rFonts w:ascii="Times New Roman" w:hAnsi="Times New Roman" w:cs="Times New Roman"/>
          <w:sz w:val="26"/>
          <w:szCs w:val="26"/>
        </w:rPr>
        <w:t xml:space="preserve"> </w:t>
      </w:r>
      <w:r w:rsidRPr="00E212DF">
        <w:rPr>
          <w:rFonts w:ascii="Times New Roman" w:hAnsi="Times New Roman" w:cs="Times New Roman"/>
          <w:sz w:val="26"/>
          <w:szCs w:val="26"/>
          <w:u w:val="single"/>
        </w:rPr>
        <w:t>вузлів</w:t>
      </w:r>
      <w:r w:rsidRPr="00E212DF">
        <w:rPr>
          <w:rFonts w:ascii="Times New Roman" w:hAnsi="Times New Roman" w:cs="Times New Roman"/>
          <w:sz w:val="26"/>
          <w:szCs w:val="26"/>
        </w:rPr>
        <w:t xml:space="preserve"> обліку</w:t>
      </w:r>
      <w:r w:rsidRPr="00B00643">
        <w:rPr>
          <w:rFonts w:ascii="Times New Roman" w:hAnsi="Times New Roman" w:cs="Times New Roman"/>
          <w:sz w:val="26"/>
          <w:szCs w:val="26"/>
        </w:rPr>
        <w:t xml:space="preserve"> природного газу (крім </w:t>
      </w:r>
      <w:r w:rsidRPr="00B00643">
        <w:rPr>
          <w:rFonts w:ascii="Times New Roman" w:hAnsi="Times New Roman" w:cs="Times New Roman"/>
          <w:sz w:val="26"/>
          <w:szCs w:val="26"/>
          <w:u w:val="single"/>
        </w:rPr>
        <w:t xml:space="preserve">комерційних </w:t>
      </w:r>
      <w:r w:rsidRPr="00E212DF">
        <w:rPr>
          <w:rFonts w:ascii="Times New Roman" w:hAnsi="Times New Roman" w:cs="Times New Roman"/>
          <w:sz w:val="26"/>
          <w:szCs w:val="26"/>
          <w:u w:val="single"/>
        </w:rPr>
        <w:t>вузлів</w:t>
      </w:r>
      <w:r w:rsidRPr="00E212DF">
        <w:rPr>
          <w:rFonts w:ascii="Times New Roman" w:hAnsi="Times New Roman" w:cs="Times New Roman"/>
          <w:sz w:val="26"/>
          <w:szCs w:val="26"/>
        </w:rPr>
        <w:t xml:space="preserve"> </w:t>
      </w:r>
      <w:r w:rsidRPr="00E212DF">
        <w:rPr>
          <w:rFonts w:ascii="Times New Roman" w:hAnsi="Times New Roman" w:cs="Times New Roman"/>
          <w:sz w:val="26"/>
          <w:szCs w:val="26"/>
          <w:u w:val="single"/>
        </w:rPr>
        <w:t>обліку</w:t>
      </w:r>
      <w:r w:rsidRPr="00B00643">
        <w:rPr>
          <w:rFonts w:ascii="Times New Roman" w:hAnsi="Times New Roman" w:cs="Times New Roman"/>
          <w:sz w:val="26"/>
          <w:szCs w:val="26"/>
        </w:rPr>
        <w:t xml:space="preserve">, які </w:t>
      </w:r>
      <w:r w:rsidR="00EF5A87" w:rsidRPr="00B00643">
        <w:rPr>
          <w:rFonts w:ascii="Times New Roman" w:hAnsi="Times New Roman" w:cs="Times New Roman"/>
          <w:sz w:val="26"/>
          <w:szCs w:val="26"/>
        </w:rPr>
        <w:t>встановлені на об’єктах побутових споживачів</w:t>
      </w:r>
      <w:r w:rsidRPr="00B00643">
        <w:rPr>
          <w:rFonts w:ascii="Times New Roman" w:hAnsi="Times New Roman" w:cs="Times New Roman"/>
          <w:sz w:val="26"/>
          <w:szCs w:val="26"/>
        </w:rPr>
        <w:t xml:space="preserve">) забезпечити облаштування засобами дистанційної передачі даних власні комерційні вузли </w:t>
      </w:r>
      <w:r w:rsidRPr="00B00643">
        <w:rPr>
          <w:rFonts w:ascii="Times New Roman" w:hAnsi="Times New Roman" w:cs="Times New Roman"/>
          <w:sz w:val="26"/>
          <w:szCs w:val="26"/>
          <w:u w:val="single"/>
        </w:rPr>
        <w:t>обліку</w:t>
      </w:r>
      <w:r w:rsidRPr="00B00643">
        <w:rPr>
          <w:rFonts w:ascii="Times New Roman" w:hAnsi="Times New Roman" w:cs="Times New Roman"/>
          <w:sz w:val="26"/>
          <w:szCs w:val="26"/>
        </w:rPr>
        <w:t>:</w:t>
      </w:r>
    </w:p>
    <w:p w14:paraId="7E605369" w14:textId="77777777" w:rsidR="00DF3FA6" w:rsidRPr="00B00643" w:rsidRDefault="00927E6D" w:rsidP="00CE722F">
      <w:pPr>
        <w:ind w:firstLine="708"/>
        <w:jc w:val="both"/>
        <w:rPr>
          <w:rFonts w:ascii="Times New Roman" w:hAnsi="Times New Roman" w:cs="Times New Roman"/>
          <w:sz w:val="26"/>
          <w:szCs w:val="26"/>
        </w:rPr>
      </w:pPr>
      <w:r w:rsidRPr="00B00643">
        <w:rPr>
          <w:rFonts w:ascii="Times New Roman" w:hAnsi="Times New Roman" w:cs="Times New Roman"/>
          <w:sz w:val="26"/>
          <w:szCs w:val="26"/>
        </w:rPr>
        <w:t xml:space="preserve"> річний обсяг обліку природного газу яких перевищує 3 млн м</w:t>
      </w:r>
      <w:r w:rsidR="00DF3FA6" w:rsidRPr="00B00643">
        <w:rPr>
          <w:rFonts w:ascii="Times New Roman" w:hAnsi="Times New Roman" w:cs="Times New Roman"/>
          <w:sz w:val="26"/>
          <w:szCs w:val="26"/>
          <w:vertAlign w:val="superscript"/>
        </w:rPr>
        <w:t>3</w:t>
      </w:r>
      <w:r w:rsidRPr="00B00643">
        <w:rPr>
          <w:rFonts w:ascii="Times New Roman" w:hAnsi="Times New Roman" w:cs="Times New Roman"/>
          <w:sz w:val="26"/>
          <w:szCs w:val="26"/>
        </w:rPr>
        <w:t xml:space="preserve"> – протягом півроку з дня набрання чинності цією постановою; </w:t>
      </w:r>
    </w:p>
    <w:p w14:paraId="708B364A" w14:textId="77777777" w:rsidR="00C34D54" w:rsidRPr="00B00643" w:rsidRDefault="00927E6D" w:rsidP="00CE722F">
      <w:pPr>
        <w:ind w:firstLine="708"/>
        <w:jc w:val="both"/>
        <w:rPr>
          <w:rFonts w:ascii="Times New Roman" w:hAnsi="Times New Roman" w:cs="Times New Roman"/>
          <w:sz w:val="26"/>
          <w:szCs w:val="26"/>
        </w:rPr>
      </w:pPr>
      <w:r w:rsidRPr="00B00643">
        <w:rPr>
          <w:rFonts w:ascii="Times New Roman" w:hAnsi="Times New Roman" w:cs="Times New Roman"/>
          <w:sz w:val="26"/>
          <w:szCs w:val="26"/>
        </w:rPr>
        <w:t>річний обсяг обліку природного газу яких від 1 млн м</w:t>
      </w:r>
      <w:r w:rsidR="00DF3FA6" w:rsidRPr="00B00643">
        <w:rPr>
          <w:rFonts w:ascii="Times New Roman" w:hAnsi="Times New Roman" w:cs="Times New Roman"/>
          <w:sz w:val="26"/>
          <w:szCs w:val="26"/>
          <w:vertAlign w:val="superscript"/>
        </w:rPr>
        <w:t>3</w:t>
      </w:r>
      <w:r w:rsidRPr="00B00643">
        <w:rPr>
          <w:rFonts w:ascii="Times New Roman" w:hAnsi="Times New Roman" w:cs="Times New Roman"/>
          <w:sz w:val="26"/>
          <w:szCs w:val="26"/>
        </w:rPr>
        <w:t xml:space="preserve"> до 3 млн м</w:t>
      </w:r>
      <w:r w:rsidR="00DF3FA6" w:rsidRPr="00B00643">
        <w:rPr>
          <w:rFonts w:ascii="Times New Roman" w:hAnsi="Times New Roman" w:cs="Times New Roman"/>
          <w:sz w:val="26"/>
          <w:szCs w:val="26"/>
          <w:vertAlign w:val="superscript"/>
        </w:rPr>
        <w:t>3</w:t>
      </w:r>
      <w:r w:rsidRPr="00B00643">
        <w:rPr>
          <w:rFonts w:ascii="Times New Roman" w:hAnsi="Times New Roman" w:cs="Times New Roman"/>
          <w:sz w:val="26"/>
          <w:szCs w:val="26"/>
        </w:rPr>
        <w:t xml:space="preserve"> – протягом одного року з дня набрання чинності цією постановою;</w:t>
      </w:r>
    </w:p>
    <w:p w14:paraId="1558B3FB" w14:textId="77777777" w:rsidR="00C34D54" w:rsidRPr="00B00643" w:rsidRDefault="00927E6D" w:rsidP="00CE722F">
      <w:pPr>
        <w:ind w:firstLine="708"/>
        <w:jc w:val="both"/>
        <w:rPr>
          <w:rFonts w:ascii="Times New Roman" w:hAnsi="Times New Roman" w:cs="Times New Roman"/>
          <w:sz w:val="26"/>
          <w:szCs w:val="26"/>
        </w:rPr>
      </w:pPr>
      <w:r w:rsidRPr="00B00643">
        <w:rPr>
          <w:rFonts w:ascii="Times New Roman" w:hAnsi="Times New Roman" w:cs="Times New Roman"/>
          <w:sz w:val="26"/>
          <w:szCs w:val="26"/>
        </w:rPr>
        <w:t xml:space="preserve"> річний обсяг обліку природного газу яких від 100 тис. м</w:t>
      </w:r>
      <w:r w:rsidR="00C34D54" w:rsidRPr="00B00643">
        <w:rPr>
          <w:rFonts w:ascii="Times New Roman" w:hAnsi="Times New Roman" w:cs="Times New Roman"/>
          <w:sz w:val="26"/>
          <w:szCs w:val="26"/>
          <w:vertAlign w:val="superscript"/>
        </w:rPr>
        <w:t>3</w:t>
      </w:r>
      <w:r w:rsidRPr="00B00643">
        <w:rPr>
          <w:rFonts w:ascii="Times New Roman" w:hAnsi="Times New Roman" w:cs="Times New Roman"/>
          <w:sz w:val="26"/>
          <w:szCs w:val="26"/>
        </w:rPr>
        <w:t xml:space="preserve"> до 1 млн м</w:t>
      </w:r>
      <w:r w:rsidR="00C34D54" w:rsidRPr="00B00643">
        <w:rPr>
          <w:rFonts w:ascii="Times New Roman" w:hAnsi="Times New Roman" w:cs="Times New Roman"/>
          <w:sz w:val="26"/>
          <w:szCs w:val="26"/>
          <w:vertAlign w:val="superscript"/>
        </w:rPr>
        <w:t>3</w:t>
      </w:r>
      <w:r w:rsidRPr="00B00643">
        <w:rPr>
          <w:rFonts w:ascii="Times New Roman" w:hAnsi="Times New Roman" w:cs="Times New Roman"/>
          <w:sz w:val="26"/>
          <w:szCs w:val="26"/>
        </w:rPr>
        <w:t xml:space="preserve"> – протягом одного року та шести місяців з дня набрання чинності цією постановою; </w:t>
      </w:r>
    </w:p>
    <w:p w14:paraId="28192C44" w14:textId="77777777" w:rsidR="00AC18EA" w:rsidRPr="00B00643" w:rsidRDefault="00927E6D" w:rsidP="00CE722F">
      <w:pPr>
        <w:ind w:firstLine="708"/>
        <w:jc w:val="both"/>
        <w:rPr>
          <w:rFonts w:ascii="Times New Roman" w:hAnsi="Times New Roman" w:cs="Times New Roman"/>
          <w:sz w:val="26"/>
          <w:szCs w:val="26"/>
        </w:rPr>
      </w:pPr>
      <w:r w:rsidRPr="00B00643">
        <w:rPr>
          <w:rFonts w:ascii="Times New Roman" w:hAnsi="Times New Roman" w:cs="Times New Roman"/>
          <w:sz w:val="26"/>
          <w:szCs w:val="26"/>
        </w:rPr>
        <w:t>річний обсяг обліку природного газу яких від 10 тис. м</w:t>
      </w:r>
      <w:r w:rsidR="00C34D54" w:rsidRPr="00B00643">
        <w:rPr>
          <w:rFonts w:ascii="Times New Roman" w:hAnsi="Times New Roman" w:cs="Times New Roman"/>
          <w:sz w:val="26"/>
          <w:szCs w:val="26"/>
          <w:vertAlign w:val="superscript"/>
        </w:rPr>
        <w:t>3</w:t>
      </w:r>
      <w:r w:rsidRPr="00B00643">
        <w:rPr>
          <w:rFonts w:ascii="Times New Roman" w:hAnsi="Times New Roman" w:cs="Times New Roman"/>
          <w:sz w:val="26"/>
          <w:szCs w:val="26"/>
        </w:rPr>
        <w:t xml:space="preserve"> до 100 тис. м</w:t>
      </w:r>
      <w:r w:rsidR="00C34D54" w:rsidRPr="00B00643">
        <w:rPr>
          <w:rFonts w:ascii="Times New Roman" w:hAnsi="Times New Roman" w:cs="Times New Roman"/>
          <w:sz w:val="26"/>
          <w:szCs w:val="26"/>
          <w:vertAlign w:val="superscript"/>
        </w:rPr>
        <w:t>3</w:t>
      </w:r>
      <w:r w:rsidRPr="00B00643">
        <w:rPr>
          <w:rFonts w:ascii="Times New Roman" w:hAnsi="Times New Roman" w:cs="Times New Roman"/>
          <w:sz w:val="26"/>
          <w:szCs w:val="26"/>
        </w:rPr>
        <w:t xml:space="preserve"> – протягом двох років з дня набрання чинності цією постановою; </w:t>
      </w:r>
    </w:p>
    <w:p w14:paraId="194B9E19" w14:textId="3FAF41AE" w:rsidR="00B03E08" w:rsidRPr="00B00643" w:rsidRDefault="00927E6D" w:rsidP="00CE722F">
      <w:pPr>
        <w:ind w:firstLine="708"/>
        <w:jc w:val="both"/>
        <w:rPr>
          <w:rFonts w:ascii="Times New Roman" w:hAnsi="Times New Roman" w:cs="Times New Roman"/>
          <w:sz w:val="26"/>
          <w:szCs w:val="26"/>
        </w:rPr>
      </w:pPr>
      <w:r w:rsidRPr="00B00643">
        <w:rPr>
          <w:rFonts w:ascii="Times New Roman" w:hAnsi="Times New Roman" w:cs="Times New Roman"/>
          <w:sz w:val="26"/>
          <w:szCs w:val="26"/>
        </w:rPr>
        <w:t>річний обсяг обліку природного газу яких менше 10 тис. м</w:t>
      </w:r>
      <w:r w:rsidR="00AC18EA" w:rsidRPr="00B00643">
        <w:rPr>
          <w:rFonts w:ascii="Times New Roman" w:hAnsi="Times New Roman" w:cs="Times New Roman"/>
          <w:sz w:val="26"/>
          <w:szCs w:val="26"/>
          <w:vertAlign w:val="superscript"/>
        </w:rPr>
        <w:t>3</w:t>
      </w:r>
      <w:r w:rsidR="00E5504F" w:rsidRPr="00B00643">
        <w:rPr>
          <w:rFonts w:ascii="Times New Roman" w:hAnsi="Times New Roman" w:cs="Times New Roman"/>
          <w:sz w:val="26"/>
          <w:szCs w:val="26"/>
          <w:vertAlign w:val="superscript"/>
        </w:rPr>
        <w:t xml:space="preserve"> </w:t>
      </w:r>
      <w:r w:rsidR="00E5504F" w:rsidRPr="00B00643">
        <w:rPr>
          <w:rFonts w:ascii="Times New Roman" w:hAnsi="Times New Roman" w:cs="Times New Roman"/>
          <w:sz w:val="26"/>
          <w:szCs w:val="26"/>
        </w:rPr>
        <w:t>(крім комерційних вузлів обліку природного газу з лічильниками типорозмірів G-1,6, G-2,5, G-4, G-6</w:t>
      </w:r>
      <w:r w:rsidR="00695EEC" w:rsidRPr="00B00643">
        <w:rPr>
          <w:rFonts w:ascii="Times New Roman" w:hAnsi="Times New Roman" w:cs="Times New Roman"/>
          <w:sz w:val="26"/>
          <w:szCs w:val="26"/>
        </w:rPr>
        <w:t>)</w:t>
      </w:r>
      <w:r w:rsidRPr="00B00643">
        <w:rPr>
          <w:rFonts w:ascii="Times New Roman" w:hAnsi="Times New Roman" w:cs="Times New Roman"/>
          <w:sz w:val="26"/>
          <w:szCs w:val="26"/>
        </w:rPr>
        <w:t xml:space="preserve"> – протягом двох років та шести місяців з дня набрання чинності цією постановою.</w:t>
      </w:r>
    </w:p>
    <w:p w14:paraId="7293FD0D" w14:textId="499A386B" w:rsidR="00B03E08" w:rsidRPr="00B00643" w:rsidRDefault="00927E6D" w:rsidP="00112036">
      <w:pPr>
        <w:jc w:val="center"/>
        <w:rPr>
          <w:rFonts w:ascii="Times New Roman" w:hAnsi="Times New Roman" w:cs="Times New Roman"/>
          <w:b/>
          <w:bCs/>
          <w:sz w:val="26"/>
          <w:szCs w:val="26"/>
        </w:rPr>
      </w:pPr>
      <w:r w:rsidRPr="00B00643">
        <w:rPr>
          <w:rFonts w:ascii="Times New Roman" w:hAnsi="Times New Roman" w:cs="Times New Roman"/>
          <w:b/>
          <w:bCs/>
          <w:sz w:val="26"/>
          <w:szCs w:val="26"/>
        </w:rPr>
        <w:t>Х. Особливості приладового обліку природного газу</w:t>
      </w:r>
    </w:p>
    <w:p w14:paraId="18E22ED2" w14:textId="3C734CC5" w:rsidR="00B03E08" w:rsidRPr="00B00643" w:rsidRDefault="00927E6D" w:rsidP="00112036">
      <w:pPr>
        <w:jc w:val="center"/>
        <w:rPr>
          <w:rFonts w:ascii="Times New Roman" w:hAnsi="Times New Roman" w:cs="Times New Roman"/>
          <w:b/>
          <w:bCs/>
          <w:sz w:val="26"/>
          <w:szCs w:val="26"/>
        </w:rPr>
      </w:pPr>
      <w:r w:rsidRPr="00B00643">
        <w:rPr>
          <w:rFonts w:ascii="Times New Roman" w:hAnsi="Times New Roman" w:cs="Times New Roman"/>
          <w:b/>
          <w:bCs/>
          <w:sz w:val="26"/>
          <w:szCs w:val="26"/>
        </w:rPr>
        <w:t>1. Загальні умови приладового обліку</w:t>
      </w:r>
    </w:p>
    <w:p w14:paraId="1472ED28" w14:textId="391FF3F3" w:rsidR="00104BA6" w:rsidRPr="00B00643" w:rsidRDefault="00927E6D" w:rsidP="00927E6D">
      <w:pPr>
        <w:jc w:val="both"/>
        <w:rPr>
          <w:rFonts w:ascii="Times New Roman" w:hAnsi="Times New Roman" w:cs="Times New Roman"/>
          <w:sz w:val="26"/>
          <w:szCs w:val="26"/>
        </w:rPr>
      </w:pPr>
      <w:r w:rsidRPr="00B00643">
        <w:rPr>
          <w:rFonts w:ascii="Times New Roman" w:hAnsi="Times New Roman" w:cs="Times New Roman"/>
          <w:sz w:val="26"/>
          <w:szCs w:val="26"/>
        </w:rPr>
        <w:t xml:space="preserve"> </w:t>
      </w:r>
      <w:r w:rsidR="00245630">
        <w:rPr>
          <w:rFonts w:ascii="Times New Roman" w:hAnsi="Times New Roman" w:cs="Times New Roman"/>
          <w:sz w:val="26"/>
          <w:szCs w:val="26"/>
        </w:rPr>
        <w:tab/>
      </w:r>
      <w:r w:rsidRPr="00B00643">
        <w:rPr>
          <w:rFonts w:ascii="Times New Roman" w:hAnsi="Times New Roman" w:cs="Times New Roman"/>
          <w:sz w:val="26"/>
          <w:szCs w:val="26"/>
        </w:rPr>
        <w:t>3. На об’єкті споживача (суміжного суб’єкта ринку природного газу) в точці вимірювання організовується єдиний комерційний вузол обліку за виключенням випадку, коли через метрологічні характеристики, сезонну роботу відповідного обладнання, необхідність відокремлення обліку газу за окремою тарифною групою чи інші об’єктивні (обґрунтовані) причини можуть встановлюватися два та більше вузлів обліку.</w:t>
      </w:r>
    </w:p>
    <w:p w14:paraId="73F140F2" w14:textId="19DE893F" w:rsidR="00104BA6" w:rsidRPr="00B00643" w:rsidRDefault="00927E6D" w:rsidP="00927E6D">
      <w:pPr>
        <w:jc w:val="both"/>
        <w:rPr>
          <w:rFonts w:ascii="Times New Roman" w:hAnsi="Times New Roman" w:cs="Times New Roman"/>
          <w:b/>
          <w:bCs/>
          <w:sz w:val="26"/>
          <w:szCs w:val="26"/>
        </w:rPr>
      </w:pPr>
      <w:r w:rsidRPr="00B00643">
        <w:rPr>
          <w:rFonts w:ascii="Times New Roman" w:hAnsi="Times New Roman" w:cs="Times New Roman"/>
          <w:b/>
          <w:bCs/>
          <w:sz w:val="26"/>
          <w:szCs w:val="26"/>
        </w:rPr>
        <w:t xml:space="preserve"> </w:t>
      </w:r>
      <w:r w:rsidR="00245630">
        <w:rPr>
          <w:rFonts w:ascii="Times New Roman" w:hAnsi="Times New Roman" w:cs="Times New Roman"/>
          <w:b/>
          <w:bCs/>
          <w:sz w:val="26"/>
          <w:szCs w:val="26"/>
        </w:rPr>
        <w:tab/>
      </w:r>
      <w:r w:rsidRPr="00B00643">
        <w:rPr>
          <w:rFonts w:ascii="Times New Roman" w:hAnsi="Times New Roman" w:cs="Times New Roman"/>
          <w:b/>
          <w:bCs/>
          <w:sz w:val="26"/>
          <w:szCs w:val="26"/>
        </w:rPr>
        <w:t xml:space="preserve">3. Порядок облаштування точок вимірювання засобами дистанційної передачі даних </w:t>
      </w:r>
    </w:p>
    <w:p w14:paraId="50312C6F"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r w:rsidRPr="003873BE">
        <w:rPr>
          <w:rFonts w:eastAsiaTheme="minorHAnsi"/>
          <w:sz w:val="26"/>
          <w:szCs w:val="26"/>
          <w:lang w:eastAsia="en-US"/>
        </w:rPr>
        <w:t>1. З метою удосконалення системи </w:t>
      </w:r>
      <w:bookmarkStart w:id="1" w:name="w1_222"/>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"w1_223"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1"/>
      <w:r w:rsidRPr="003873BE">
        <w:rPr>
          <w:rFonts w:eastAsiaTheme="minorHAnsi"/>
          <w:sz w:val="26"/>
          <w:szCs w:val="26"/>
          <w:lang w:eastAsia="en-US"/>
        </w:rPr>
        <w:t>ійного обліку природного газу, підвищення рівня достовірності вимірювання об’єму природного газу </w:t>
      </w:r>
      <w:bookmarkStart w:id="2" w:name="w1_223"/>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"w1_224"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2"/>
      <w:r w:rsidRPr="003873BE">
        <w:rPr>
          <w:rFonts w:eastAsiaTheme="minorHAnsi"/>
          <w:sz w:val="26"/>
          <w:szCs w:val="26"/>
          <w:lang w:eastAsia="en-US"/>
        </w:rPr>
        <w:t>ійними вузлами обліку в газорозподільних системах та для забезпечення належної організації добового балансування на ринку природного газу України Оператори ГРМ та їх суміжні суб’єкти ринку природного газу, зокрема споживачі, повинні здійснювати відповідні заходи з організації та облаштування </w:t>
      </w:r>
      <w:bookmarkStart w:id="3" w:name="w1_224"/>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"w1_225"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3"/>
      <w:r w:rsidRPr="003873BE">
        <w:rPr>
          <w:rFonts w:eastAsiaTheme="minorHAnsi"/>
          <w:sz w:val="26"/>
          <w:szCs w:val="26"/>
          <w:lang w:eastAsia="en-US"/>
        </w:rPr>
        <w:t>ійних вузлів обліку природного газу засобами дистанційної передачі даних.</w:t>
      </w:r>
    </w:p>
    <w:p w14:paraId="09826BF4"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4" w:name="n2119"/>
      <w:bookmarkEnd w:id="4"/>
      <w:r w:rsidRPr="003873BE">
        <w:rPr>
          <w:rFonts w:eastAsiaTheme="minorHAnsi"/>
          <w:sz w:val="26"/>
          <w:szCs w:val="26"/>
          <w:lang w:eastAsia="en-US"/>
        </w:rPr>
        <w:t>При встановленні на </w:t>
      </w:r>
      <w:bookmarkStart w:id="5" w:name="w1_225"/>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"w1_226"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5"/>
      <w:r w:rsidRPr="003873BE">
        <w:rPr>
          <w:rFonts w:eastAsiaTheme="minorHAnsi"/>
          <w:sz w:val="26"/>
          <w:szCs w:val="26"/>
          <w:lang w:eastAsia="en-US"/>
        </w:rPr>
        <w:t>ійному ВОГ засобу дистанційної передачі даних, який належить Оператору ГРМ, на території чи у приміщенні споживача (суміжного суб’єкта ринку природного газу) між Оператором ГРМ та споживачем (суміжним суб’єктом ринку природного газу) має бути укладений договір про безоплатне відповідальне зберігання такого засобу дистанційної передачі даних на весь строк його експлуатації.</w:t>
      </w:r>
    </w:p>
    <w:p w14:paraId="627C7BAC"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6" w:name="n2120"/>
      <w:bookmarkStart w:id="7" w:name="n954"/>
      <w:bookmarkEnd w:id="6"/>
      <w:bookmarkEnd w:id="7"/>
      <w:r w:rsidRPr="003873BE">
        <w:rPr>
          <w:rFonts w:eastAsiaTheme="minorHAnsi"/>
          <w:sz w:val="26"/>
          <w:szCs w:val="26"/>
          <w:lang w:eastAsia="en-US"/>
        </w:rPr>
        <w:lastRenderedPageBreak/>
        <w:t>2. Власники </w:t>
      </w:r>
      <w:bookmarkStart w:id="8" w:name="w1_226"/>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"w1_227"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8"/>
      <w:r w:rsidRPr="003873BE">
        <w:rPr>
          <w:rFonts w:eastAsiaTheme="minorHAnsi"/>
          <w:sz w:val="26"/>
          <w:szCs w:val="26"/>
          <w:lang w:eastAsia="en-US"/>
        </w:rPr>
        <w:t>ійних вузлів обліку (крім побутових споживачів із річним споживанням до 10 тис. м куб.; крім власників </w:t>
      </w:r>
      <w:bookmarkStart w:id="9" w:name="w1_227"/>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"w1_228"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9"/>
      <w:r w:rsidRPr="003873BE">
        <w:rPr>
          <w:rFonts w:eastAsiaTheme="minorHAnsi"/>
          <w:sz w:val="26"/>
          <w:szCs w:val="26"/>
          <w:lang w:eastAsia="en-US"/>
        </w:rPr>
        <w:t>ійних вузлів обліку природного газу з лічильниками типорозмірів G-1,6, G-2,5, G-4, G-6 та річний обсяг обліку природного газу яких менше 10 тис. м куб.) зобов'язані в установленому законодавством порядку забезпечити організацію та облаштування на власних </w:t>
      </w:r>
      <w:bookmarkStart w:id="10" w:name="w1_228"/>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"w1_229"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10"/>
      <w:r w:rsidRPr="003873BE">
        <w:rPr>
          <w:rFonts w:eastAsiaTheme="minorHAnsi"/>
          <w:sz w:val="26"/>
          <w:szCs w:val="26"/>
          <w:lang w:eastAsia="en-US"/>
        </w:rPr>
        <w:t>ійних вузлах обліку засобів дистанційної передачі даних.</w:t>
      </w:r>
    </w:p>
    <w:p w14:paraId="340DED95"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11" w:name="n2180"/>
      <w:bookmarkStart w:id="12" w:name="n955"/>
      <w:bookmarkEnd w:id="11"/>
      <w:bookmarkEnd w:id="12"/>
      <w:r w:rsidRPr="003873BE">
        <w:rPr>
          <w:rFonts w:eastAsiaTheme="minorHAnsi"/>
          <w:sz w:val="26"/>
          <w:szCs w:val="26"/>
          <w:lang w:eastAsia="en-US"/>
        </w:rPr>
        <w:t>Споживачі, у тому числі побутові, та суміжні Оператори ГРМ, газодобувні підприємства, виробники біогазу або інших видів газу з альтернативних джерел не мають права відмовити Оператору ГРМ, до ГРМ якого підключені їх об’єкти, в організації та облаштуванні їх </w:t>
      </w:r>
      <w:bookmarkStart w:id="13" w:name="w1_229"/>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"w1_230"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13"/>
      <w:r w:rsidRPr="003873BE">
        <w:rPr>
          <w:rFonts w:eastAsiaTheme="minorHAnsi"/>
          <w:sz w:val="26"/>
          <w:szCs w:val="26"/>
          <w:lang w:eastAsia="en-US"/>
        </w:rPr>
        <w:t>ійних вузлів обліку засобами дистанційної передачі даних, якщо такі заходи забезпечуються за його рахунок.</w:t>
      </w:r>
    </w:p>
    <w:p w14:paraId="156045EC"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14" w:name="n956"/>
      <w:bookmarkEnd w:id="14"/>
      <w:r w:rsidRPr="003873BE">
        <w:rPr>
          <w:rFonts w:eastAsiaTheme="minorHAnsi"/>
          <w:sz w:val="26"/>
          <w:szCs w:val="26"/>
          <w:lang w:eastAsia="en-US"/>
        </w:rPr>
        <w:t>При порушенні визначених законодавством строків на облаштування </w:t>
      </w:r>
      <w:bookmarkStart w:id="15" w:name="w1_230"/>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"w1_231"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15"/>
      <w:r w:rsidRPr="003873BE">
        <w:rPr>
          <w:rFonts w:eastAsiaTheme="minorHAnsi"/>
          <w:sz w:val="26"/>
          <w:szCs w:val="26"/>
          <w:lang w:eastAsia="en-US"/>
        </w:rPr>
        <w:t xml:space="preserve">ійних вузлів обліку засобами дистанційної передачі даних або </w:t>
      </w:r>
      <w:proofErr w:type="spellStart"/>
      <w:r w:rsidRPr="003873BE">
        <w:rPr>
          <w:rFonts w:eastAsiaTheme="minorHAnsi"/>
          <w:sz w:val="26"/>
          <w:szCs w:val="26"/>
          <w:lang w:eastAsia="en-US"/>
        </w:rPr>
        <w:t>недопуску</w:t>
      </w:r>
      <w:proofErr w:type="spellEnd"/>
      <w:r w:rsidRPr="003873BE">
        <w:rPr>
          <w:rFonts w:eastAsiaTheme="minorHAnsi"/>
          <w:sz w:val="26"/>
          <w:szCs w:val="26"/>
          <w:lang w:eastAsia="en-US"/>
        </w:rPr>
        <w:t xml:space="preserve"> Оператора ГРМ на облаштування зазначеної системи за його рахунок Оператор ГРМ має право застосувати до власника </w:t>
      </w:r>
      <w:bookmarkStart w:id="16" w:name="w1_231"/>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"w1_232"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16"/>
      <w:r w:rsidRPr="003873BE">
        <w:rPr>
          <w:rFonts w:eastAsiaTheme="minorHAnsi"/>
          <w:sz w:val="26"/>
          <w:szCs w:val="26"/>
          <w:lang w:eastAsia="en-US"/>
        </w:rPr>
        <w:t>ійного обліку заходи з обмеження (припинення) передачі та/або розподілу природного газу на його об’єкт. При цьому у випадку надання  власником </w:t>
      </w:r>
      <w:bookmarkStart w:id="17" w:name="w1_232"/>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"w1_233"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17"/>
      <w:r w:rsidRPr="003873BE">
        <w:rPr>
          <w:rFonts w:eastAsiaTheme="minorHAnsi"/>
          <w:sz w:val="26"/>
          <w:szCs w:val="26"/>
          <w:lang w:eastAsia="en-US"/>
        </w:rPr>
        <w:t>ійного вузла обліку Оператору ГРМ гарантійного листа (безумовного, безвідкличного), в якому такий власник письмово підтвердить свої зобов’язання у визначений ним строк, але не пізніше 01 травня 2019 року, облаштувати </w:t>
      </w:r>
      <w:bookmarkStart w:id="18" w:name="w1_233"/>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"w1_234"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18"/>
      <w:r w:rsidRPr="003873BE">
        <w:rPr>
          <w:rFonts w:eastAsiaTheme="minorHAnsi"/>
          <w:sz w:val="26"/>
          <w:szCs w:val="26"/>
          <w:lang w:eastAsia="en-US"/>
        </w:rPr>
        <w:t>ійний вузол обліку засобами дистанційної передачі даних, Оператор ГРМ протягом визначеного строку не має права застосовувати до власника </w:t>
      </w:r>
      <w:bookmarkStart w:id="19" w:name="w1_234"/>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"w1_235"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19"/>
      <w:r w:rsidRPr="003873BE">
        <w:rPr>
          <w:rFonts w:eastAsiaTheme="minorHAnsi"/>
          <w:sz w:val="26"/>
          <w:szCs w:val="26"/>
          <w:lang w:eastAsia="en-US"/>
        </w:rPr>
        <w:t>ійного вузла обліку заходи з обмеження (припинення) передачі та/або розподілу природного газу на його об’єкт.</w:t>
      </w:r>
    </w:p>
    <w:p w14:paraId="75FF931F"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20" w:name="n2121"/>
      <w:bookmarkStart w:id="21" w:name="n957"/>
      <w:bookmarkEnd w:id="20"/>
      <w:bookmarkEnd w:id="21"/>
      <w:r w:rsidRPr="003873BE">
        <w:rPr>
          <w:rFonts w:eastAsiaTheme="minorHAnsi"/>
          <w:sz w:val="26"/>
          <w:szCs w:val="26"/>
          <w:lang w:eastAsia="en-US"/>
        </w:rPr>
        <w:t>3. Організація та облаштування </w:t>
      </w:r>
      <w:bookmarkStart w:id="22" w:name="w1_235"/>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"w1_236"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22"/>
      <w:r w:rsidRPr="003873BE">
        <w:rPr>
          <w:rFonts w:eastAsiaTheme="minorHAnsi"/>
          <w:sz w:val="26"/>
          <w:szCs w:val="26"/>
          <w:lang w:eastAsia="en-US"/>
        </w:rPr>
        <w:t>ійних вузлів обліку засобами дистанційної передачі даних здійснюється у такому порядку:</w:t>
      </w:r>
    </w:p>
    <w:p w14:paraId="68BBFB9A"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23" w:name="n958"/>
      <w:bookmarkEnd w:id="23"/>
      <w:r w:rsidRPr="003873BE">
        <w:rPr>
          <w:rFonts w:eastAsiaTheme="minorHAnsi"/>
          <w:sz w:val="26"/>
          <w:szCs w:val="26"/>
          <w:lang w:eastAsia="en-US"/>
        </w:rPr>
        <w:t xml:space="preserve">отримання у Оператора ГРМ технічного завдання на </w:t>
      </w:r>
      <w:proofErr w:type="spellStart"/>
      <w:r w:rsidRPr="003873BE">
        <w:rPr>
          <w:rFonts w:eastAsiaTheme="minorHAnsi"/>
          <w:sz w:val="26"/>
          <w:szCs w:val="26"/>
          <w:lang w:eastAsia="en-US"/>
        </w:rPr>
        <w:t>проєктування</w:t>
      </w:r>
      <w:proofErr w:type="spellEnd"/>
      <w:r w:rsidRPr="003873BE">
        <w:rPr>
          <w:rFonts w:eastAsiaTheme="minorHAnsi"/>
          <w:sz w:val="26"/>
          <w:szCs w:val="26"/>
          <w:lang w:eastAsia="en-US"/>
        </w:rPr>
        <w:t xml:space="preserve"> організації та облаштування засобів дистанційної передачі даних на </w:t>
      </w:r>
      <w:bookmarkStart w:id="24" w:name="w1_236"/>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"w1_237"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24"/>
      <w:r w:rsidRPr="003873BE">
        <w:rPr>
          <w:rFonts w:eastAsiaTheme="minorHAnsi"/>
          <w:sz w:val="26"/>
          <w:szCs w:val="26"/>
          <w:lang w:eastAsia="en-US"/>
        </w:rPr>
        <w:t xml:space="preserve">ійному </w:t>
      </w:r>
      <w:proofErr w:type="spellStart"/>
      <w:r w:rsidRPr="003873BE">
        <w:rPr>
          <w:rFonts w:eastAsiaTheme="minorHAnsi"/>
          <w:sz w:val="26"/>
          <w:szCs w:val="26"/>
          <w:lang w:eastAsia="en-US"/>
        </w:rPr>
        <w:t>вузлі</w:t>
      </w:r>
      <w:proofErr w:type="spellEnd"/>
      <w:r w:rsidRPr="003873BE">
        <w:rPr>
          <w:rFonts w:eastAsiaTheme="minorHAnsi"/>
          <w:sz w:val="26"/>
          <w:szCs w:val="26"/>
          <w:lang w:eastAsia="en-US"/>
        </w:rPr>
        <w:t xml:space="preserve"> обліку;</w:t>
      </w:r>
    </w:p>
    <w:p w14:paraId="0EB04027"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25" w:name="n959"/>
      <w:bookmarkEnd w:id="25"/>
      <w:r w:rsidRPr="003873BE">
        <w:rPr>
          <w:rFonts w:eastAsiaTheme="minorHAnsi"/>
          <w:sz w:val="26"/>
          <w:szCs w:val="26"/>
          <w:lang w:eastAsia="en-US"/>
        </w:rPr>
        <w:t xml:space="preserve">розробка на підставі технічного завдання Оператора ГРМ робочого </w:t>
      </w:r>
      <w:proofErr w:type="spellStart"/>
      <w:r w:rsidRPr="003873BE">
        <w:rPr>
          <w:rFonts w:eastAsiaTheme="minorHAnsi"/>
          <w:sz w:val="26"/>
          <w:szCs w:val="26"/>
          <w:lang w:eastAsia="en-US"/>
        </w:rPr>
        <w:t>проєкту</w:t>
      </w:r>
      <w:proofErr w:type="spellEnd"/>
      <w:r w:rsidRPr="003873BE">
        <w:rPr>
          <w:rFonts w:eastAsiaTheme="minorHAnsi"/>
          <w:sz w:val="26"/>
          <w:szCs w:val="26"/>
          <w:lang w:eastAsia="en-US"/>
        </w:rPr>
        <w:t xml:space="preserve"> з організації та облаштування системи дистанційної передачі даних на </w:t>
      </w:r>
      <w:bookmarkStart w:id="26" w:name="w1_237"/>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"w1_238"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26"/>
      <w:r w:rsidRPr="003873BE">
        <w:rPr>
          <w:rFonts w:eastAsiaTheme="minorHAnsi"/>
          <w:sz w:val="26"/>
          <w:szCs w:val="26"/>
          <w:lang w:eastAsia="en-US"/>
        </w:rPr>
        <w:t xml:space="preserve">ійному </w:t>
      </w:r>
      <w:proofErr w:type="spellStart"/>
      <w:r w:rsidRPr="003873BE">
        <w:rPr>
          <w:rFonts w:eastAsiaTheme="minorHAnsi"/>
          <w:sz w:val="26"/>
          <w:szCs w:val="26"/>
          <w:lang w:eastAsia="en-US"/>
        </w:rPr>
        <w:t>вузлі</w:t>
      </w:r>
      <w:proofErr w:type="spellEnd"/>
      <w:r w:rsidRPr="003873BE">
        <w:rPr>
          <w:rFonts w:eastAsiaTheme="minorHAnsi"/>
          <w:sz w:val="26"/>
          <w:szCs w:val="26"/>
          <w:lang w:eastAsia="en-US"/>
        </w:rPr>
        <w:t xml:space="preserve"> обліку та його погодження Оператором ГРМ;</w:t>
      </w:r>
    </w:p>
    <w:p w14:paraId="1A99DFA7"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27" w:name="n960"/>
      <w:bookmarkEnd w:id="27"/>
      <w:r w:rsidRPr="003873BE">
        <w:rPr>
          <w:rFonts w:eastAsiaTheme="minorHAnsi"/>
          <w:sz w:val="26"/>
          <w:szCs w:val="26"/>
          <w:lang w:eastAsia="en-US"/>
        </w:rPr>
        <w:t>закупівля необхідного обладнання, монтаж засобів дистанційної передачі даних, налагодження каналів зв’язку і передачі даних та перевірка достовірності переданих (зчитаних) даних до Оператора ГРМ;</w:t>
      </w:r>
    </w:p>
    <w:p w14:paraId="1C25C816"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28" w:name="n961"/>
      <w:bookmarkEnd w:id="28"/>
      <w:r w:rsidRPr="003873BE">
        <w:rPr>
          <w:rFonts w:eastAsiaTheme="minorHAnsi"/>
          <w:sz w:val="26"/>
          <w:szCs w:val="26"/>
          <w:lang w:eastAsia="en-US"/>
        </w:rPr>
        <w:t>прийняття в експлуатацію засобів дистанційної передачі даних на </w:t>
      </w:r>
      <w:bookmarkStart w:id="29" w:name="w1_238"/>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"w1_239"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29"/>
      <w:r w:rsidRPr="003873BE">
        <w:rPr>
          <w:rFonts w:eastAsiaTheme="minorHAnsi"/>
          <w:sz w:val="26"/>
          <w:szCs w:val="26"/>
          <w:lang w:eastAsia="en-US"/>
        </w:rPr>
        <w:t xml:space="preserve">ійному </w:t>
      </w:r>
      <w:proofErr w:type="spellStart"/>
      <w:r w:rsidRPr="003873BE">
        <w:rPr>
          <w:rFonts w:eastAsiaTheme="minorHAnsi"/>
          <w:sz w:val="26"/>
          <w:szCs w:val="26"/>
          <w:lang w:eastAsia="en-US"/>
        </w:rPr>
        <w:t>вузлі</w:t>
      </w:r>
      <w:proofErr w:type="spellEnd"/>
      <w:r w:rsidRPr="003873BE">
        <w:rPr>
          <w:rFonts w:eastAsiaTheme="minorHAnsi"/>
          <w:sz w:val="26"/>
          <w:szCs w:val="26"/>
          <w:lang w:eastAsia="en-US"/>
        </w:rPr>
        <w:t xml:space="preserve"> обліку за участі Оператора ГРМ, що має підтверджуватися відповідним актом введення в експлуатацію.</w:t>
      </w:r>
    </w:p>
    <w:p w14:paraId="7079B33B"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30" w:name="n962"/>
      <w:bookmarkEnd w:id="30"/>
      <w:r w:rsidRPr="003873BE">
        <w:rPr>
          <w:rFonts w:eastAsiaTheme="minorHAnsi"/>
          <w:sz w:val="26"/>
          <w:szCs w:val="26"/>
          <w:lang w:eastAsia="en-US"/>
        </w:rPr>
        <w:t xml:space="preserve">4. Технічне завдання Оператора ГРМ на </w:t>
      </w:r>
      <w:proofErr w:type="spellStart"/>
      <w:r w:rsidRPr="003873BE">
        <w:rPr>
          <w:rFonts w:eastAsiaTheme="minorHAnsi"/>
          <w:sz w:val="26"/>
          <w:szCs w:val="26"/>
          <w:lang w:eastAsia="en-US"/>
        </w:rPr>
        <w:t>проєктування</w:t>
      </w:r>
      <w:proofErr w:type="spellEnd"/>
      <w:r w:rsidRPr="003873BE">
        <w:rPr>
          <w:rFonts w:eastAsiaTheme="minorHAnsi"/>
          <w:sz w:val="26"/>
          <w:szCs w:val="26"/>
          <w:lang w:eastAsia="en-US"/>
        </w:rPr>
        <w:t xml:space="preserve"> організації та облаштування засобів дистанційної передачі даних на </w:t>
      </w:r>
      <w:bookmarkStart w:id="31" w:name="w1_239"/>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"w1_240"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31"/>
      <w:r w:rsidRPr="003873BE">
        <w:rPr>
          <w:rFonts w:eastAsiaTheme="minorHAnsi"/>
          <w:sz w:val="26"/>
          <w:szCs w:val="26"/>
          <w:lang w:eastAsia="en-US"/>
        </w:rPr>
        <w:t xml:space="preserve">ійному </w:t>
      </w:r>
      <w:proofErr w:type="spellStart"/>
      <w:r w:rsidRPr="003873BE">
        <w:rPr>
          <w:rFonts w:eastAsiaTheme="minorHAnsi"/>
          <w:sz w:val="26"/>
          <w:szCs w:val="26"/>
          <w:lang w:eastAsia="en-US"/>
        </w:rPr>
        <w:t>вузлі</w:t>
      </w:r>
      <w:proofErr w:type="spellEnd"/>
      <w:r w:rsidRPr="003873BE">
        <w:rPr>
          <w:rFonts w:eastAsiaTheme="minorHAnsi"/>
          <w:sz w:val="26"/>
          <w:szCs w:val="26"/>
          <w:lang w:eastAsia="en-US"/>
        </w:rPr>
        <w:t xml:space="preserve"> обліку має включати:</w:t>
      </w:r>
    </w:p>
    <w:p w14:paraId="07DDC3F7"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32" w:name="n963"/>
      <w:bookmarkEnd w:id="32"/>
      <w:r w:rsidRPr="003873BE">
        <w:rPr>
          <w:rFonts w:eastAsiaTheme="minorHAnsi"/>
          <w:sz w:val="26"/>
          <w:szCs w:val="26"/>
          <w:lang w:eastAsia="en-US"/>
        </w:rPr>
        <w:t>1) перелік даних, що передаються до Оператора ГРМ;</w:t>
      </w:r>
    </w:p>
    <w:p w14:paraId="61B39300"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33" w:name="n964"/>
      <w:bookmarkEnd w:id="33"/>
      <w:r w:rsidRPr="003873BE">
        <w:rPr>
          <w:rFonts w:eastAsiaTheme="minorHAnsi"/>
          <w:sz w:val="26"/>
          <w:szCs w:val="26"/>
          <w:lang w:eastAsia="en-US"/>
        </w:rPr>
        <w:t>2) протокол передачі даних;</w:t>
      </w:r>
    </w:p>
    <w:p w14:paraId="411B50A6"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34" w:name="n965"/>
      <w:bookmarkEnd w:id="34"/>
      <w:r w:rsidRPr="003873BE">
        <w:rPr>
          <w:rFonts w:eastAsiaTheme="minorHAnsi"/>
          <w:sz w:val="26"/>
          <w:szCs w:val="26"/>
          <w:lang w:eastAsia="en-US"/>
        </w:rPr>
        <w:t>3) перелік місць установлення засобів дистанційної передачі даних;</w:t>
      </w:r>
    </w:p>
    <w:p w14:paraId="4FF1CE7D"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35" w:name="n966"/>
      <w:bookmarkEnd w:id="35"/>
      <w:r w:rsidRPr="003873BE">
        <w:rPr>
          <w:rFonts w:eastAsiaTheme="minorHAnsi"/>
          <w:sz w:val="26"/>
          <w:szCs w:val="26"/>
          <w:lang w:eastAsia="en-US"/>
        </w:rPr>
        <w:t>4) перелік місць установлення комунікаційного обладнання;</w:t>
      </w:r>
    </w:p>
    <w:p w14:paraId="0A8B779E"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36" w:name="n967"/>
      <w:bookmarkEnd w:id="36"/>
      <w:r w:rsidRPr="003873BE">
        <w:rPr>
          <w:rFonts w:eastAsiaTheme="minorHAnsi"/>
          <w:sz w:val="26"/>
          <w:szCs w:val="26"/>
          <w:lang w:eastAsia="en-US"/>
        </w:rPr>
        <w:t>5) інформацію про параметри каналів зв’язку, які будуть застосовуватись для зчитування та передачі даних з </w:t>
      </w:r>
      <w:bookmarkStart w:id="37" w:name="w1_240"/>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"w1_241"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37"/>
      <w:r w:rsidRPr="003873BE">
        <w:rPr>
          <w:rFonts w:eastAsiaTheme="minorHAnsi"/>
          <w:sz w:val="26"/>
          <w:szCs w:val="26"/>
          <w:lang w:eastAsia="en-US"/>
        </w:rPr>
        <w:t>ійного вузла обліку;</w:t>
      </w:r>
    </w:p>
    <w:p w14:paraId="23789296"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38" w:name="n968"/>
      <w:bookmarkEnd w:id="38"/>
      <w:r w:rsidRPr="003873BE">
        <w:rPr>
          <w:rFonts w:eastAsiaTheme="minorHAnsi"/>
          <w:sz w:val="26"/>
          <w:szCs w:val="26"/>
          <w:lang w:eastAsia="en-US"/>
        </w:rPr>
        <w:lastRenderedPageBreak/>
        <w:t>6) рекомендації щодо апаратного та програмного інтерфейсу лічильників;</w:t>
      </w:r>
    </w:p>
    <w:p w14:paraId="639C4215"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39" w:name="n969"/>
      <w:bookmarkEnd w:id="39"/>
      <w:r w:rsidRPr="003873BE">
        <w:rPr>
          <w:rFonts w:eastAsiaTheme="minorHAnsi"/>
          <w:sz w:val="26"/>
          <w:szCs w:val="26"/>
          <w:lang w:eastAsia="en-US"/>
        </w:rPr>
        <w:t>7) умови спільного використання введених в експлуатацію засобів дистанційної передачі даних, встановлених на </w:t>
      </w:r>
      <w:bookmarkStart w:id="40" w:name="w1_241"/>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"w1_242"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40"/>
      <w:r w:rsidRPr="003873BE">
        <w:rPr>
          <w:rFonts w:eastAsiaTheme="minorHAnsi"/>
          <w:sz w:val="26"/>
          <w:szCs w:val="26"/>
          <w:lang w:eastAsia="en-US"/>
        </w:rPr>
        <w:t xml:space="preserve">ійному </w:t>
      </w:r>
      <w:proofErr w:type="spellStart"/>
      <w:r w:rsidRPr="003873BE">
        <w:rPr>
          <w:rFonts w:eastAsiaTheme="minorHAnsi"/>
          <w:sz w:val="26"/>
          <w:szCs w:val="26"/>
          <w:lang w:eastAsia="en-US"/>
        </w:rPr>
        <w:t>вузлі</w:t>
      </w:r>
      <w:proofErr w:type="spellEnd"/>
      <w:r w:rsidRPr="003873BE">
        <w:rPr>
          <w:rFonts w:eastAsiaTheme="minorHAnsi"/>
          <w:sz w:val="26"/>
          <w:szCs w:val="26"/>
          <w:lang w:eastAsia="en-US"/>
        </w:rPr>
        <w:t xml:space="preserve"> обліку;</w:t>
      </w:r>
    </w:p>
    <w:p w14:paraId="7CA0054E"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41" w:name="n970"/>
      <w:bookmarkEnd w:id="41"/>
      <w:r w:rsidRPr="003873BE">
        <w:rPr>
          <w:rFonts w:eastAsiaTheme="minorHAnsi"/>
          <w:sz w:val="26"/>
          <w:szCs w:val="26"/>
          <w:lang w:eastAsia="en-US"/>
        </w:rPr>
        <w:t>8) інші обґрунтовані вимоги щодо облаштування засобів дистанційної передачі даних на </w:t>
      </w:r>
      <w:bookmarkStart w:id="42" w:name="w1_242"/>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"w1_243"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42"/>
      <w:r w:rsidRPr="003873BE">
        <w:rPr>
          <w:rFonts w:eastAsiaTheme="minorHAnsi"/>
          <w:sz w:val="26"/>
          <w:szCs w:val="26"/>
          <w:lang w:eastAsia="en-US"/>
        </w:rPr>
        <w:t xml:space="preserve">ійному </w:t>
      </w:r>
      <w:proofErr w:type="spellStart"/>
      <w:r w:rsidRPr="003873BE">
        <w:rPr>
          <w:rFonts w:eastAsiaTheme="minorHAnsi"/>
          <w:sz w:val="26"/>
          <w:szCs w:val="26"/>
          <w:lang w:eastAsia="en-US"/>
        </w:rPr>
        <w:t>вузлі</w:t>
      </w:r>
      <w:proofErr w:type="spellEnd"/>
      <w:r w:rsidRPr="003873BE">
        <w:rPr>
          <w:rFonts w:eastAsiaTheme="minorHAnsi"/>
          <w:sz w:val="26"/>
          <w:szCs w:val="26"/>
          <w:lang w:eastAsia="en-US"/>
        </w:rPr>
        <w:t xml:space="preserve"> обліку.</w:t>
      </w:r>
    </w:p>
    <w:p w14:paraId="21F86DD6"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43" w:name="n971"/>
      <w:bookmarkEnd w:id="43"/>
      <w:r w:rsidRPr="003873BE">
        <w:rPr>
          <w:rFonts w:eastAsiaTheme="minorHAnsi"/>
          <w:sz w:val="26"/>
          <w:szCs w:val="26"/>
          <w:lang w:eastAsia="en-US"/>
        </w:rPr>
        <w:t xml:space="preserve">5. Оператор ГРМ погоджує робочий </w:t>
      </w:r>
      <w:proofErr w:type="spellStart"/>
      <w:r w:rsidRPr="003873BE">
        <w:rPr>
          <w:rFonts w:eastAsiaTheme="minorHAnsi"/>
          <w:sz w:val="26"/>
          <w:szCs w:val="26"/>
          <w:lang w:eastAsia="en-US"/>
        </w:rPr>
        <w:t>проєкт</w:t>
      </w:r>
      <w:proofErr w:type="spellEnd"/>
      <w:r w:rsidRPr="003873BE">
        <w:rPr>
          <w:rFonts w:eastAsiaTheme="minorHAnsi"/>
          <w:sz w:val="26"/>
          <w:szCs w:val="26"/>
          <w:lang w:eastAsia="en-US"/>
        </w:rPr>
        <w:t xml:space="preserve"> з організації та облаштування системи дистанційної передачі даних на </w:t>
      </w:r>
      <w:bookmarkStart w:id="44" w:name="w1_243"/>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"w1_244"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44"/>
      <w:r w:rsidRPr="003873BE">
        <w:rPr>
          <w:rFonts w:eastAsiaTheme="minorHAnsi"/>
          <w:sz w:val="26"/>
          <w:szCs w:val="26"/>
          <w:lang w:eastAsia="en-US"/>
        </w:rPr>
        <w:t xml:space="preserve">ійному </w:t>
      </w:r>
      <w:proofErr w:type="spellStart"/>
      <w:r w:rsidRPr="003873BE">
        <w:rPr>
          <w:rFonts w:eastAsiaTheme="minorHAnsi"/>
          <w:sz w:val="26"/>
          <w:szCs w:val="26"/>
          <w:lang w:eastAsia="en-US"/>
        </w:rPr>
        <w:t>вузлі</w:t>
      </w:r>
      <w:proofErr w:type="spellEnd"/>
      <w:r w:rsidRPr="003873BE">
        <w:rPr>
          <w:rFonts w:eastAsiaTheme="minorHAnsi"/>
          <w:sz w:val="26"/>
          <w:szCs w:val="26"/>
          <w:lang w:eastAsia="en-US"/>
        </w:rPr>
        <w:t xml:space="preserve"> обліку в обсязі виданого ним технічного завдання впродовж десяти робочих днів з дня його отримання.</w:t>
      </w:r>
    </w:p>
    <w:p w14:paraId="529A5ED1"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45" w:name="n972"/>
      <w:bookmarkEnd w:id="45"/>
      <w:r w:rsidRPr="003873BE">
        <w:rPr>
          <w:rFonts w:eastAsiaTheme="minorHAnsi"/>
          <w:sz w:val="26"/>
          <w:szCs w:val="26"/>
          <w:lang w:eastAsia="en-US"/>
        </w:rPr>
        <w:t xml:space="preserve">6. У разі незгоди з даними технічного завдання або робочого </w:t>
      </w:r>
      <w:proofErr w:type="spellStart"/>
      <w:r w:rsidRPr="003873BE">
        <w:rPr>
          <w:rFonts w:eastAsiaTheme="minorHAnsi"/>
          <w:sz w:val="26"/>
          <w:szCs w:val="26"/>
          <w:lang w:eastAsia="en-US"/>
        </w:rPr>
        <w:t>проєкту</w:t>
      </w:r>
      <w:proofErr w:type="spellEnd"/>
      <w:r w:rsidRPr="003873BE">
        <w:rPr>
          <w:rFonts w:eastAsiaTheme="minorHAnsi"/>
          <w:sz w:val="26"/>
          <w:szCs w:val="26"/>
          <w:lang w:eastAsia="en-US"/>
        </w:rPr>
        <w:t xml:space="preserve"> з організації та облаштування засобів дистанційної передачі даних на </w:t>
      </w:r>
      <w:bookmarkStart w:id="46" w:name="w1_244"/>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"w1_245"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46"/>
      <w:r w:rsidRPr="003873BE">
        <w:rPr>
          <w:rFonts w:eastAsiaTheme="minorHAnsi"/>
          <w:sz w:val="26"/>
          <w:szCs w:val="26"/>
          <w:lang w:eastAsia="en-US"/>
        </w:rPr>
        <w:t xml:space="preserve">ійному </w:t>
      </w:r>
      <w:proofErr w:type="spellStart"/>
      <w:r w:rsidRPr="003873BE">
        <w:rPr>
          <w:rFonts w:eastAsiaTheme="minorHAnsi"/>
          <w:sz w:val="26"/>
          <w:szCs w:val="26"/>
          <w:lang w:eastAsia="en-US"/>
        </w:rPr>
        <w:t>вузлі</w:t>
      </w:r>
      <w:proofErr w:type="spellEnd"/>
      <w:r w:rsidRPr="003873BE">
        <w:rPr>
          <w:rFonts w:eastAsiaTheme="minorHAnsi"/>
          <w:sz w:val="26"/>
          <w:szCs w:val="26"/>
          <w:lang w:eastAsia="en-US"/>
        </w:rPr>
        <w:t xml:space="preserve"> обліку сторони (Оператор ГРМ або суміжний суб’єкт ринку газу) можуть ініціювати їх експертизу, яка здійснюється відповідно до вимог законодавства та за рахунок її ініціатора.</w:t>
      </w:r>
    </w:p>
    <w:p w14:paraId="07345AFC"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47" w:name="n973"/>
      <w:bookmarkEnd w:id="47"/>
      <w:r w:rsidRPr="003873BE">
        <w:rPr>
          <w:rFonts w:eastAsiaTheme="minorHAnsi"/>
          <w:sz w:val="26"/>
          <w:szCs w:val="26"/>
          <w:lang w:eastAsia="en-US"/>
        </w:rPr>
        <w:t>7. Прийняті в експлуатацію засоби дистанційної передачі даних на </w:t>
      </w:r>
      <w:bookmarkStart w:id="48" w:name="w1_245"/>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"w1_246"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48"/>
      <w:r w:rsidRPr="003873BE">
        <w:rPr>
          <w:rFonts w:eastAsiaTheme="minorHAnsi"/>
          <w:sz w:val="26"/>
          <w:szCs w:val="26"/>
          <w:lang w:eastAsia="en-US"/>
        </w:rPr>
        <w:t>ійному ВОГ повинні використовуватись суміжними суб’єктами ринку природного газу при визначенні об’ємів передачі або розподілу (споживання) природного газу на межі балансової належності між цими суб’єктами та у взаємовідносинах між суб’єктами ринку природного газу, у тому числі для взаєморозрахунків.</w:t>
      </w:r>
    </w:p>
    <w:p w14:paraId="7E932DF7"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49" w:name="n974"/>
      <w:bookmarkEnd w:id="49"/>
      <w:r w:rsidRPr="003873BE">
        <w:rPr>
          <w:rFonts w:eastAsiaTheme="minorHAnsi"/>
          <w:sz w:val="26"/>
          <w:szCs w:val="26"/>
          <w:lang w:eastAsia="en-US"/>
        </w:rPr>
        <w:t>8. Зчитування інформації з </w:t>
      </w:r>
      <w:bookmarkStart w:id="50" w:name="w1_246"/>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"w1_247"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50"/>
      <w:r w:rsidRPr="003873BE">
        <w:rPr>
          <w:rFonts w:eastAsiaTheme="minorHAnsi"/>
          <w:sz w:val="26"/>
          <w:szCs w:val="26"/>
          <w:lang w:eastAsia="en-US"/>
        </w:rPr>
        <w:t>ійного ВОГ через засоби дистанційної передачі даних проводиться за рахунок сторони (Оператора ГРМ або суміжного суб’єкта ринку газу), яка зчитує дані.</w:t>
      </w:r>
    </w:p>
    <w:p w14:paraId="6F575450" w14:textId="77777777" w:rsidR="003873BE" w:rsidRPr="003873BE" w:rsidRDefault="003873BE" w:rsidP="003873BE">
      <w:pPr>
        <w:pStyle w:val="rvps2"/>
        <w:shd w:val="clear" w:color="auto" w:fill="FFFFFF"/>
        <w:spacing w:before="0" w:beforeAutospacing="0" w:after="150" w:afterAutospacing="0"/>
        <w:ind w:firstLine="450"/>
        <w:jc w:val="both"/>
        <w:rPr>
          <w:rFonts w:eastAsiaTheme="minorHAnsi"/>
          <w:sz w:val="26"/>
          <w:szCs w:val="26"/>
          <w:lang w:eastAsia="en-US"/>
        </w:rPr>
      </w:pPr>
      <w:bookmarkStart w:id="51" w:name="n975"/>
      <w:bookmarkEnd w:id="51"/>
      <w:r w:rsidRPr="003873BE">
        <w:rPr>
          <w:rFonts w:eastAsiaTheme="minorHAnsi"/>
          <w:sz w:val="26"/>
          <w:szCs w:val="26"/>
          <w:lang w:eastAsia="en-US"/>
        </w:rPr>
        <w:t>9. Власники </w:t>
      </w:r>
      <w:bookmarkStart w:id="52" w:name="w1_247"/>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"w1_248"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52"/>
      <w:r w:rsidRPr="003873BE">
        <w:rPr>
          <w:rFonts w:eastAsiaTheme="minorHAnsi"/>
          <w:sz w:val="26"/>
          <w:szCs w:val="26"/>
          <w:lang w:eastAsia="en-US"/>
        </w:rPr>
        <w:t>ійних вузлів обліку, на яких встановлено засоби дистанційної передачі даних, що введені в експлуатацію, не мають права обмежувати доступ до цих засобів та інформації, що зберігається в первинній базі даних засобів </w:t>
      </w:r>
      <w:bookmarkStart w:id="53" w:name="w1_248"/>
      <w:r w:rsidRPr="003873BE">
        <w:rPr>
          <w:rFonts w:eastAsiaTheme="minorHAnsi"/>
          <w:sz w:val="26"/>
          <w:szCs w:val="26"/>
          <w:lang w:eastAsia="en-US"/>
        </w:rPr>
        <w:fldChar w:fldCharType="begin"/>
      </w:r>
      <w:r w:rsidRPr="003873BE">
        <w:rPr>
          <w:rFonts w:eastAsiaTheme="minorHAnsi"/>
          <w:sz w:val="26"/>
          <w:szCs w:val="26"/>
          <w:lang w:eastAsia="en-US"/>
        </w:rPr>
        <w:instrText xml:space="preserve"> HYPERLINK "https://zakon.rada.gov.ua/laws/show/z1379-15?find=1&amp;text=%D0%BA%D0%BE%D0%BC%D0%B5%D1%80%D1%86" \l "w1_249" </w:instrText>
      </w:r>
      <w:r w:rsidRPr="003873BE">
        <w:rPr>
          <w:rFonts w:eastAsiaTheme="minorHAnsi"/>
          <w:sz w:val="26"/>
          <w:szCs w:val="26"/>
          <w:lang w:eastAsia="en-US"/>
        </w:rPr>
        <w:fldChar w:fldCharType="separate"/>
      </w:r>
      <w:r w:rsidRPr="003873BE">
        <w:rPr>
          <w:rFonts w:eastAsiaTheme="minorHAnsi"/>
          <w:sz w:val="26"/>
          <w:szCs w:val="26"/>
          <w:lang w:eastAsia="en-US"/>
        </w:rPr>
        <w:t>комерц</w:t>
      </w:r>
      <w:r w:rsidRPr="003873BE">
        <w:rPr>
          <w:rFonts w:eastAsiaTheme="minorHAnsi"/>
          <w:sz w:val="26"/>
          <w:szCs w:val="26"/>
          <w:lang w:eastAsia="en-US"/>
        </w:rPr>
        <w:fldChar w:fldCharType="end"/>
      </w:r>
      <w:bookmarkEnd w:id="53"/>
      <w:r w:rsidRPr="003873BE">
        <w:rPr>
          <w:rFonts w:eastAsiaTheme="minorHAnsi"/>
          <w:sz w:val="26"/>
          <w:szCs w:val="26"/>
          <w:lang w:eastAsia="en-US"/>
        </w:rPr>
        <w:t>ійного вузла обліку.</w:t>
      </w:r>
    </w:p>
    <w:p w14:paraId="62AE3612" w14:textId="14E8E343" w:rsidR="00927E6D" w:rsidRPr="00B00643" w:rsidRDefault="00927E6D" w:rsidP="00927E6D">
      <w:pPr>
        <w:jc w:val="both"/>
        <w:rPr>
          <w:rFonts w:ascii="Times New Roman" w:hAnsi="Times New Roman" w:cs="Times New Roman"/>
          <w:sz w:val="26"/>
          <w:szCs w:val="26"/>
        </w:rPr>
      </w:pPr>
      <w:r w:rsidRPr="00B00643">
        <w:rPr>
          <w:rFonts w:ascii="Times New Roman" w:hAnsi="Times New Roman" w:cs="Times New Roman"/>
          <w:sz w:val="26"/>
          <w:szCs w:val="26"/>
        </w:rPr>
        <w:t xml:space="preserve"> </w:t>
      </w:r>
      <w:r w:rsidR="00DF7C69">
        <w:rPr>
          <w:rFonts w:ascii="Times New Roman" w:hAnsi="Times New Roman" w:cs="Times New Roman"/>
          <w:sz w:val="26"/>
          <w:szCs w:val="26"/>
        </w:rPr>
        <w:tab/>
      </w:r>
      <w:r w:rsidRPr="00DF7C69">
        <w:rPr>
          <w:rFonts w:ascii="Times New Roman" w:hAnsi="Times New Roman" w:cs="Times New Roman"/>
          <w:sz w:val="26"/>
          <w:szCs w:val="26"/>
          <w:u w:val="single"/>
        </w:rPr>
        <w:t>Прохання</w:t>
      </w:r>
      <w:r w:rsidR="00DF7C69" w:rsidRPr="00DF7C69">
        <w:rPr>
          <w:rFonts w:ascii="Times New Roman" w:hAnsi="Times New Roman" w:cs="Times New Roman"/>
          <w:sz w:val="26"/>
          <w:szCs w:val="26"/>
          <w:u w:val="single"/>
          <w:lang w:val="ru-RU"/>
        </w:rPr>
        <w:t>!!!</w:t>
      </w:r>
      <w:r w:rsidRPr="00B00643">
        <w:rPr>
          <w:rFonts w:ascii="Times New Roman" w:hAnsi="Times New Roman" w:cs="Times New Roman"/>
          <w:sz w:val="26"/>
          <w:szCs w:val="26"/>
        </w:rPr>
        <w:t xml:space="preserve"> </w:t>
      </w:r>
      <w:r w:rsidR="00DF7C69">
        <w:rPr>
          <w:rFonts w:ascii="Times New Roman" w:hAnsi="Times New Roman" w:cs="Times New Roman"/>
          <w:sz w:val="26"/>
          <w:szCs w:val="26"/>
        </w:rPr>
        <w:t>Д</w:t>
      </w:r>
      <w:r w:rsidRPr="00B00643">
        <w:rPr>
          <w:rFonts w:ascii="Times New Roman" w:hAnsi="Times New Roman" w:cs="Times New Roman"/>
          <w:sz w:val="26"/>
          <w:szCs w:val="26"/>
        </w:rPr>
        <w:t>отримуватися термінів щодо встановлення засобів дистанційної передачі даних на власних комерційних вузлах обліку</w:t>
      </w:r>
      <w:r w:rsidR="00DF7C69">
        <w:rPr>
          <w:rFonts w:ascii="Times New Roman" w:hAnsi="Times New Roman" w:cs="Times New Roman"/>
          <w:sz w:val="26"/>
          <w:szCs w:val="26"/>
        </w:rPr>
        <w:t>.</w:t>
      </w:r>
    </w:p>
    <w:p w14:paraId="219FA4B5" w14:textId="72A7231C" w:rsidR="00296541" w:rsidRPr="00B00643" w:rsidRDefault="00927E6D" w:rsidP="00DF7C69">
      <w:pPr>
        <w:jc w:val="right"/>
        <w:rPr>
          <w:rFonts w:ascii="Times New Roman" w:hAnsi="Times New Roman" w:cs="Times New Roman"/>
          <w:sz w:val="26"/>
          <w:szCs w:val="26"/>
        </w:rPr>
      </w:pPr>
      <w:r w:rsidRPr="00B00643">
        <w:rPr>
          <w:rFonts w:ascii="Times New Roman" w:hAnsi="Times New Roman" w:cs="Times New Roman"/>
          <w:sz w:val="26"/>
          <w:szCs w:val="26"/>
        </w:rPr>
        <w:t xml:space="preserve">З повагою, </w:t>
      </w:r>
      <w:r w:rsidR="003873BE">
        <w:rPr>
          <w:rFonts w:ascii="Times New Roman" w:hAnsi="Times New Roman" w:cs="Times New Roman"/>
          <w:sz w:val="26"/>
          <w:szCs w:val="26"/>
        </w:rPr>
        <w:t>фахівці</w:t>
      </w:r>
      <w:r w:rsidRPr="00B00643">
        <w:rPr>
          <w:rFonts w:ascii="Times New Roman" w:hAnsi="Times New Roman" w:cs="Times New Roman"/>
          <w:sz w:val="26"/>
          <w:szCs w:val="26"/>
        </w:rPr>
        <w:t xml:space="preserve"> П</w:t>
      </w:r>
      <w:r w:rsidR="003873BE">
        <w:rPr>
          <w:rFonts w:ascii="Times New Roman" w:hAnsi="Times New Roman" w:cs="Times New Roman"/>
          <w:sz w:val="26"/>
          <w:szCs w:val="26"/>
        </w:rPr>
        <w:t>р</w:t>
      </w:r>
      <w:r w:rsidRPr="00B00643">
        <w:rPr>
          <w:rFonts w:ascii="Times New Roman" w:hAnsi="Times New Roman" w:cs="Times New Roman"/>
          <w:sz w:val="26"/>
          <w:szCs w:val="26"/>
        </w:rPr>
        <w:t>АТ «</w:t>
      </w:r>
      <w:proofErr w:type="spellStart"/>
      <w:r w:rsidRPr="00B00643">
        <w:rPr>
          <w:rFonts w:ascii="Times New Roman" w:hAnsi="Times New Roman" w:cs="Times New Roman"/>
          <w:sz w:val="26"/>
          <w:szCs w:val="26"/>
        </w:rPr>
        <w:t>Уманьгаз</w:t>
      </w:r>
      <w:proofErr w:type="spellEnd"/>
      <w:r w:rsidRPr="00B00643">
        <w:rPr>
          <w:rFonts w:ascii="Times New Roman" w:hAnsi="Times New Roman" w:cs="Times New Roman"/>
          <w:sz w:val="26"/>
          <w:szCs w:val="26"/>
        </w:rPr>
        <w:t>»</w:t>
      </w:r>
    </w:p>
    <w:p w14:paraId="4563321E" w14:textId="77777777" w:rsidR="00DF7C69" w:rsidRPr="00B00643" w:rsidRDefault="00DF7C69" w:rsidP="00DF7C69">
      <w:pPr>
        <w:jc w:val="right"/>
        <w:rPr>
          <w:rFonts w:ascii="Times New Roman" w:hAnsi="Times New Roman" w:cs="Times New Roman"/>
          <w:sz w:val="26"/>
          <w:szCs w:val="26"/>
        </w:rPr>
      </w:pPr>
    </w:p>
    <w:sectPr w:rsidR="00DF7C69" w:rsidRPr="00B0064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CD38F" w14:textId="77777777" w:rsidR="008E088B" w:rsidRDefault="008E088B" w:rsidP="0003479B">
      <w:pPr>
        <w:spacing w:after="0" w:line="240" w:lineRule="auto"/>
      </w:pPr>
      <w:r>
        <w:separator/>
      </w:r>
    </w:p>
  </w:endnote>
  <w:endnote w:type="continuationSeparator" w:id="0">
    <w:p w14:paraId="4AA4A8FD" w14:textId="77777777" w:rsidR="008E088B" w:rsidRDefault="008E088B" w:rsidP="0003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1D84B" w14:textId="77777777" w:rsidR="008E088B" w:rsidRDefault="008E088B" w:rsidP="0003479B">
      <w:pPr>
        <w:spacing w:after="0" w:line="240" w:lineRule="auto"/>
      </w:pPr>
      <w:r>
        <w:separator/>
      </w:r>
    </w:p>
  </w:footnote>
  <w:footnote w:type="continuationSeparator" w:id="0">
    <w:p w14:paraId="50E0078A" w14:textId="77777777" w:rsidR="008E088B" w:rsidRDefault="008E088B" w:rsidP="00034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6D"/>
    <w:rsid w:val="0003479B"/>
    <w:rsid w:val="00104BA6"/>
    <w:rsid w:val="00112036"/>
    <w:rsid w:val="00234EB0"/>
    <w:rsid w:val="00245630"/>
    <w:rsid w:val="00296541"/>
    <w:rsid w:val="003873BE"/>
    <w:rsid w:val="005B6A1F"/>
    <w:rsid w:val="00695EEC"/>
    <w:rsid w:val="007A6607"/>
    <w:rsid w:val="008E088B"/>
    <w:rsid w:val="009061A8"/>
    <w:rsid w:val="00927E6D"/>
    <w:rsid w:val="009756BC"/>
    <w:rsid w:val="00AC18EA"/>
    <w:rsid w:val="00AF4788"/>
    <w:rsid w:val="00B00643"/>
    <w:rsid w:val="00B03E08"/>
    <w:rsid w:val="00C34D54"/>
    <w:rsid w:val="00CE722F"/>
    <w:rsid w:val="00DF110F"/>
    <w:rsid w:val="00DF3FA6"/>
    <w:rsid w:val="00DF7C69"/>
    <w:rsid w:val="00E212DF"/>
    <w:rsid w:val="00E5504F"/>
    <w:rsid w:val="00EF5A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364F"/>
  <w15:chartTrackingRefBased/>
  <w15:docId w15:val="{66565C4C-C7F8-459A-90DE-DAED7A97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873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873BE"/>
    <w:rPr>
      <w:color w:val="0000FF"/>
      <w:u w:val="single"/>
    </w:rPr>
  </w:style>
  <w:style w:type="character" w:customStyle="1" w:styleId="rvts46">
    <w:name w:val="rvts46"/>
    <w:basedOn w:val="a0"/>
    <w:rsid w:val="003873BE"/>
  </w:style>
  <w:style w:type="character" w:customStyle="1" w:styleId="rvts11">
    <w:name w:val="rvts11"/>
    <w:basedOn w:val="a0"/>
    <w:rsid w:val="003873BE"/>
  </w:style>
  <w:style w:type="paragraph" w:styleId="a4">
    <w:name w:val="header"/>
    <w:basedOn w:val="a"/>
    <w:link w:val="a5"/>
    <w:uiPriority w:val="99"/>
    <w:unhideWhenUsed/>
    <w:rsid w:val="0003479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3479B"/>
  </w:style>
  <w:style w:type="paragraph" w:styleId="a6">
    <w:name w:val="footer"/>
    <w:basedOn w:val="a"/>
    <w:link w:val="a7"/>
    <w:uiPriority w:val="99"/>
    <w:unhideWhenUsed/>
    <w:rsid w:val="0003479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3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1623</Words>
  <Characters>9257</Characters>
  <Application>Microsoft Office Word</Application>
  <DocSecurity>0</DocSecurity>
  <Lines>77</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Прессекретар</dc:creator>
  <cp:keywords/>
  <dc:description/>
  <cp:lastModifiedBy>Olexander</cp:lastModifiedBy>
  <cp:revision>23</cp:revision>
  <dcterms:created xsi:type="dcterms:W3CDTF">2022-02-14T11:03:00Z</dcterms:created>
  <dcterms:modified xsi:type="dcterms:W3CDTF">2022-02-18T08:06:00Z</dcterms:modified>
</cp:coreProperties>
</file>